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и воспитания (математическое образование)</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и воспитания (математическое образование)»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«Методика обучения и воспитания (математическое образование)».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и воспитания (математическое образование)»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Б1.В.01.02 «Методика обучения и воспитания (математическое образование)»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педагогического мастерства</w:t>
            </w:r>
          </w:p>
          <w:p>
            <w:pPr>
              <w:jc w:val="center"/>
              <w:spacing w:after="0" w:line="240" w:lineRule="auto"/>
              <w:rPr>
                <w:sz w:val="22"/>
                <w:szCs w:val="22"/>
              </w:rPr>
            </w:pPr>
            <w:r>
              <w:rPr>
                <w:rFonts w:ascii="Times New Roman" w:hAnsi="Times New Roman" w:cs="Times New Roman"/>
                <w:color w:val="#000000"/>
                <w:sz w:val="22"/>
                <w:szCs w:val="22"/>
              </w:rPr>
              <w:t> Современные модели обучения математике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математике как научно- практическая дисциплина. Нормативно-правовая и учебно-методическая база работы учителя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приемы и средства организации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средства организации обучения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принципы научно-методической организации процесса обучения математике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универсальных учебных действий (УУД) обучающихся и методика их формирования средствами учебного предмета согласно требованиям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реализации индивидуализации и дифференциации обучения на уровнях основного общего и среднего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оценки и мониторинга образовательных результатов обучающихся в математическом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Учебно-методическое обеспечение внеучебной деятельности школьников при обучении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математике как научно- практическая дисциплина. Нормативно-правовая и учебно-методическая база работы учителя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приемы и средства организации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средства организации обучения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принципы научно-методической организации процесса обучения математике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универсальных учебных действий (УУД) обучающихся и методика их формирования средствами учебного предмета согласно требованиям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реализации индивидуализации и дифференциации обучения на уровнях основного общего и среднего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оценки и мониторинга образовательных результатов обучающихся в математическом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Учебно-методическое обеспечение внеучебной деятельности школьников при обучении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математике как научно- практическая дисциплина. Нормативно-правовая и учебно-методическая база работы учителя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приемы и средства организации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средства организации обучения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принципы научно-методической организации процесса обучения математике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универсальных учебных действий (УУД) обучающихся и методика их формирования средствами учебного предмета согласно требованиям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реализации индивидуализации и дифференциации обучения на уровнях основного общего и среднего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оценки и мониторинга образовательных результатов обучающихся в математическом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Учебно-методическое обеспечение внеучебной деятельности школьников при обучении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208.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математике как научно-практическая дисциплина. Нормативно- правовая и учебно-методическая база работы учителя математики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обучения математике как научная дисциплина. Основные этапы развития методики преподавания математики. Структура построения школьных математических курсов. Система школьного математического образования в России. Закон «Об образовании в Российской Федерации». Федеральный государственный образовательный стандарт. Место математического образования в реализации основных образовательных программ. Образовательные программы. Примерные основные образовательные программы. Учебные планы. Рабочие программы. Планирование в работе учителя. Электронный журнал и электронный дневник. Учебно-методический комплекс и учебно- методический комплект. Учебник математики в образовательном процессе. Рабочая тетрадь и другие составляющие учебно-методического комплекса по математике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приемы и средства организации обучения.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типология современного урока математики. Подготовка учителя к уроку математики. Проектирование урока математики. Преимущества и недостатки классно- урочной системы. Методы, приемы, средства школьного обучения математике: общая характеристика. Методические приемы изложения учебного материала: практика применения в обучении и воспитании. Методические приемы и активизация познавательной деятельности учащихся. Аудиовизуальные технологии в обучении математике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средства организации обучения математике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Интерактивные технологии в обучении математике. Инновационные резервы «традиционного» урока. Игровое моделирование в обучении математике. Групповая деятельность на уроке. Правила организации совместной деятельности на уроке. Исследовательская и проектная деятельность обучающихся при изучении математики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принципы научно-методической организации процесса обучения математике в школе</w:t>
            </w:r>
          </w:p>
        </w:tc>
      </w:tr>
      <w:tr>
        <w:trPr>
          <w:trHeight w:hRule="exact" w:val="1727.3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Школьный математический и его структура: теоретический учебный материал. Задачи и методика работы с задачами при изучении математики в школе. Наглядность в обучении математике. Информационно-коммуникационные технологии (ИКТ) и новейшие технические средства обучения (ТСО) в преподавании математики в школе: введение в проблематику. Познавательные возможности учащихся. Мотивация в школьном математическом образовании и развитие у учащихся интереса к изучению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математики. Формирование умений учащихся. Проверка знаний и умений учащихся. Контроль и проверка в школьном математическом образовании. Домашняя работа учащихся по математике</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универсальных учебных действий (УУД) обучающихся и методика их формирования средствами учебного предмета согласно требованиям ФГОС</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проектирования программы развития УУД и методические требования к ее проектированию Основные виды УУД в соответствии с требованиями ФГОС ОО. Характеристики личностных, регулятивных, познавательных, коммуникативных УУД. Возможности обучения математике в формировании УУД. Методы и методика формирования УУД. Типовые задания, в которых реализуются личностные, регулятивные, познавательные, коммуникативные универсальные учебные действия. Формы обучения, основанные на системно-деятельностном подходе, обеспечивающие развитие УУД. Цель, подходы, принципы проектирования программы развития УУД у обучающихся. Основные методические рекомендации по проектированию программы развития УУД. Познавательно-исследовательская, учебно-исследовательская и проектная деятельность обучающихся по математике в процессе формирования УУД. Портфолио как технология обучения школьников. Основные метапредметные и предметные понятия и результаты освоения математики и смежных дисциплин в рамках формирования УУД. Проектная и познавательно-исследовательская деятельность обучающихся как средство формирования УУД. Оценивание сформированности различных видов УУД на уроках по математике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реализации индивидуализации и дифференциации обучения на уровнях основного общего и среднего общего образования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организации дифференциации и индивидуализации при обучении математике в основном общем и среднем общем образовании. Дифференциация и индивидуализация обучения как средство развития обучающихся. Учет индивидуальных особенностей школьников в процессе обучения математике. Индивидуальные особенности школьников как основа дифференциации и индивидуализации обучения математике с целью развития личности. Индивидуальный образовательный маршрут (ИОМ) при обучении математике. Структура ИОМ: целевой (цели получения образования, сформулированные на основе ФГОС, мотивов и потребностей обучающегося; содержательный (структура и содержание учебного материала, установление межпредметных и внутрипредметных связей); технологический (педагогические технологии обучения); диагностический (методики диагностики результатов обучения); организационный (условия достижения педагогических целей); результативный (ожидаемые результаты).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оценки и мониторинга образовательных результатов обучающихся в математическом образовании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Тестовые технологии оценивания учебных достижений по математике. Современная теория конструирования тестов по математике. Система оценки качества образования. Государственная итоговая аттестация по математике в 9 и 11 классах. Технология формирования КИМов при разработке ГИА по математике. Анализ КИМов ОГЭ и ЕГЭ по математике. Анализ различных рекомендаций по подготовке к ОГЭ и ЕГЭ по математике. Изучение математики на ступени основного и среднего общего образования: базовый и профильный уровни. Олимпиады по математике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Учебно-методическое обеспечение внеучебной деятельности школьников при обучении математике</w:t>
            </w:r>
          </w:p>
        </w:tc>
      </w:tr>
      <w:tr>
        <w:trPr>
          <w:trHeight w:hRule="exact" w:val="2444.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внеучебной деятельности школьников при обучении математике. Многообразие форм и направлений внеурочной деятельности в обучении математике в школе. Организация проектной деятельности в рамках внеучебной деятельности при обучении математике. Формы, методы и средства оценки результатов внеучебной деятельности школьников при обучении математике. Требования к учебно-методическому обеспечению внеурочной деятельности при обучении математике. Использование электронных образовательных ресурсов при отборе содержания элективных курсов по математике. Электронные образовательные ресурсы как средство осуществления различных видов учебно-познавательной деятельности при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внеучебной деятельности по математике. Особенности деятельности учителя математики при организации внеклассной работы с использованием дистанционных образовательных технологий</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математике как научно-практическая дисциплина. Нормативно- правовая и учебно-методическая база работы учителя математики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школьного курса «Математика».</w:t>
            </w:r>
          </w:p>
          <w:p>
            <w:pPr>
              <w:jc w:val="both"/>
              <w:spacing w:after="0" w:line="240" w:lineRule="auto"/>
              <w:rPr>
                <w:sz w:val="24"/>
                <w:szCs w:val="24"/>
              </w:rPr>
            </w:pPr>
            <w:r>
              <w:rPr>
                <w:rFonts w:ascii="Times New Roman" w:hAnsi="Times New Roman" w:cs="Times New Roman"/>
                <w:color w:val="#000000"/>
                <w:sz w:val="24"/>
                <w:szCs w:val="24"/>
              </w:rPr>
              <w:t> 2.	Положение математике в федеральном, региональном и школьном компонентах ба- зисного учебного плана.</w:t>
            </w:r>
          </w:p>
          <w:p>
            <w:pPr>
              <w:jc w:val="both"/>
              <w:spacing w:after="0" w:line="240" w:lineRule="auto"/>
              <w:rPr>
                <w:sz w:val="24"/>
                <w:szCs w:val="24"/>
              </w:rPr>
            </w:pPr>
            <w:r>
              <w:rPr>
                <w:rFonts w:ascii="Times New Roman" w:hAnsi="Times New Roman" w:cs="Times New Roman"/>
                <w:color w:val="#000000"/>
                <w:sz w:val="24"/>
                <w:szCs w:val="24"/>
              </w:rPr>
              <w:t> 3.	 Анализ программ и учебников по математике для школ.</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приемы и средства организации обучения.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Составить схему анализа пункта школьного учебника</w:t>
            </w:r>
          </w:p>
          <w:p>
            <w:pPr>
              <w:jc w:val="both"/>
              <w:spacing w:after="0" w:line="240" w:lineRule="auto"/>
              <w:rPr>
                <w:sz w:val="24"/>
                <w:szCs w:val="24"/>
              </w:rPr>
            </w:pPr>
            <w:r>
              <w:rPr>
                <w:rFonts w:ascii="Times New Roman" w:hAnsi="Times New Roman" w:cs="Times New Roman"/>
                <w:color w:val="#000000"/>
                <w:sz w:val="24"/>
                <w:szCs w:val="24"/>
              </w:rPr>
              <w:t> Разработайте фрагмент с применением письменно-графических приемов и средств изуче- ния теоретического материала.</w:t>
            </w:r>
          </w:p>
          <w:p>
            <w:pPr>
              <w:jc w:val="both"/>
              <w:spacing w:after="0" w:line="240" w:lineRule="auto"/>
              <w:rPr>
                <w:sz w:val="24"/>
                <w:szCs w:val="24"/>
              </w:rPr>
            </w:pPr>
            <w:r>
              <w:rPr>
                <w:rFonts w:ascii="Times New Roman" w:hAnsi="Times New Roman" w:cs="Times New Roman"/>
                <w:color w:val="#000000"/>
                <w:sz w:val="24"/>
                <w:szCs w:val="24"/>
              </w:rPr>
              <w:t> Методика изучения натуральных чисел:</w:t>
            </w:r>
          </w:p>
          <w:p>
            <w:pPr>
              <w:jc w:val="both"/>
              <w:spacing w:after="0" w:line="240" w:lineRule="auto"/>
              <w:rPr>
                <w:sz w:val="24"/>
                <w:szCs w:val="24"/>
              </w:rPr>
            </w:pPr>
            <w:r>
              <w:rPr>
                <w:rFonts w:ascii="Times New Roman" w:hAnsi="Times New Roman" w:cs="Times New Roman"/>
                <w:color w:val="#000000"/>
                <w:sz w:val="24"/>
                <w:szCs w:val="24"/>
              </w:rPr>
              <w:t> А) цели изучения;</w:t>
            </w:r>
          </w:p>
          <w:p>
            <w:pPr>
              <w:jc w:val="both"/>
              <w:spacing w:after="0" w:line="240" w:lineRule="auto"/>
              <w:rPr>
                <w:sz w:val="24"/>
                <w:szCs w:val="24"/>
              </w:rPr>
            </w:pPr>
            <w:r>
              <w:rPr>
                <w:rFonts w:ascii="Times New Roman" w:hAnsi="Times New Roman" w:cs="Times New Roman"/>
                <w:color w:val="#000000"/>
                <w:sz w:val="24"/>
                <w:szCs w:val="24"/>
              </w:rPr>
              <w:t> б) основные направления обобщения изученного в начальной школе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средства организации обучения математике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практических заданий различного уровня сложности</w:t>
            </w:r>
          </w:p>
          <w:p>
            <w:pPr>
              <w:jc w:val="both"/>
              <w:spacing w:after="0" w:line="240" w:lineRule="auto"/>
              <w:rPr>
                <w:sz w:val="24"/>
                <w:szCs w:val="24"/>
              </w:rPr>
            </w:pPr>
            <w:r>
              <w:rPr>
                <w:rFonts w:ascii="Times New Roman" w:hAnsi="Times New Roman" w:cs="Times New Roman"/>
                <w:color w:val="#000000"/>
                <w:sz w:val="24"/>
                <w:szCs w:val="24"/>
              </w:rPr>
              <w:t> Методика изучения десятичных дробей:</w:t>
            </w:r>
          </w:p>
          <w:p>
            <w:pPr>
              <w:jc w:val="both"/>
              <w:spacing w:after="0" w:line="240" w:lineRule="auto"/>
              <w:rPr>
                <w:sz w:val="24"/>
                <w:szCs w:val="24"/>
              </w:rPr>
            </w:pPr>
            <w:r>
              <w:rPr>
                <w:rFonts w:ascii="Times New Roman" w:hAnsi="Times New Roman" w:cs="Times New Roman"/>
                <w:color w:val="#000000"/>
                <w:sz w:val="24"/>
                <w:szCs w:val="24"/>
              </w:rPr>
              <w:t> А) пути введения;</w:t>
            </w:r>
          </w:p>
          <w:p>
            <w:pPr>
              <w:jc w:val="both"/>
              <w:spacing w:after="0" w:line="240" w:lineRule="auto"/>
              <w:rPr>
                <w:sz w:val="24"/>
                <w:szCs w:val="24"/>
              </w:rPr>
            </w:pPr>
            <w:r>
              <w:rPr>
                <w:rFonts w:ascii="Times New Roman" w:hAnsi="Times New Roman" w:cs="Times New Roman"/>
                <w:color w:val="#000000"/>
                <w:sz w:val="24"/>
                <w:szCs w:val="24"/>
              </w:rPr>
              <w:t> Б) методика изучения сравнения;</w:t>
            </w:r>
          </w:p>
          <w:p>
            <w:pPr>
              <w:jc w:val="both"/>
              <w:spacing w:after="0" w:line="240" w:lineRule="auto"/>
              <w:rPr>
                <w:sz w:val="24"/>
                <w:szCs w:val="24"/>
              </w:rPr>
            </w:pPr>
            <w:r>
              <w:rPr>
                <w:rFonts w:ascii="Times New Roman" w:hAnsi="Times New Roman" w:cs="Times New Roman"/>
                <w:color w:val="#000000"/>
                <w:sz w:val="24"/>
                <w:szCs w:val="24"/>
              </w:rPr>
              <w:t> В) методика изучения действий.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принципы научно-методической организации процесса обучения математике в школе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Разбор практических заданий по темам «Уравнения» и «Неравенства».</w:t>
            </w:r>
          </w:p>
          <w:p>
            <w:pPr>
              <w:jc w:val="both"/>
              <w:spacing w:after="0" w:line="240" w:lineRule="auto"/>
              <w:rPr>
                <w:sz w:val="24"/>
                <w:szCs w:val="24"/>
              </w:rPr>
            </w:pPr>
            <w:r>
              <w:rPr>
                <w:rFonts w:ascii="Times New Roman" w:hAnsi="Times New Roman" w:cs="Times New Roman"/>
                <w:color w:val="#000000"/>
                <w:sz w:val="24"/>
                <w:szCs w:val="24"/>
              </w:rPr>
              <w:t> Методика изучения обыкновенных дробей и смешанных чисел в 5-6 классах:</w:t>
            </w:r>
          </w:p>
          <w:p>
            <w:pPr>
              <w:jc w:val="both"/>
              <w:spacing w:after="0" w:line="240" w:lineRule="auto"/>
              <w:rPr>
                <w:sz w:val="24"/>
                <w:szCs w:val="24"/>
              </w:rPr>
            </w:pPr>
            <w:r>
              <w:rPr>
                <w:rFonts w:ascii="Times New Roman" w:hAnsi="Times New Roman" w:cs="Times New Roman"/>
                <w:color w:val="#000000"/>
                <w:sz w:val="24"/>
                <w:szCs w:val="24"/>
              </w:rPr>
              <w:t> а) пути введения,</w:t>
            </w:r>
          </w:p>
          <w:p>
            <w:pPr>
              <w:jc w:val="both"/>
              <w:spacing w:after="0" w:line="240" w:lineRule="auto"/>
              <w:rPr>
                <w:sz w:val="24"/>
                <w:szCs w:val="24"/>
              </w:rPr>
            </w:pPr>
            <w:r>
              <w:rPr>
                <w:rFonts w:ascii="Times New Roman" w:hAnsi="Times New Roman" w:cs="Times New Roman"/>
                <w:color w:val="#000000"/>
                <w:sz w:val="24"/>
                <w:szCs w:val="24"/>
              </w:rPr>
              <w:t> б) методика изучения сравнения,</w:t>
            </w:r>
          </w:p>
          <w:p>
            <w:pPr>
              <w:jc w:val="both"/>
              <w:spacing w:after="0" w:line="240" w:lineRule="auto"/>
              <w:rPr>
                <w:sz w:val="24"/>
                <w:szCs w:val="24"/>
              </w:rPr>
            </w:pPr>
            <w:r>
              <w:rPr>
                <w:rFonts w:ascii="Times New Roman" w:hAnsi="Times New Roman" w:cs="Times New Roman"/>
                <w:color w:val="#000000"/>
                <w:sz w:val="24"/>
                <w:szCs w:val="24"/>
              </w:rPr>
              <w:t> в) методика изучения действий.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универсальных учебных действий (УУД) обучающихся и методика их формирования средствами учебного предмета согласно требованиям ФГОС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Разбор практических заданий различного уровня по теме «Целые числа».</w:t>
            </w:r>
          </w:p>
          <w:p>
            <w:pPr>
              <w:jc w:val="both"/>
              <w:spacing w:after="0" w:line="240" w:lineRule="auto"/>
              <w:rPr>
                <w:sz w:val="24"/>
                <w:szCs w:val="24"/>
              </w:rPr>
            </w:pPr>
            <w:r>
              <w:rPr>
                <w:rFonts w:ascii="Times New Roman" w:hAnsi="Times New Roman" w:cs="Times New Roman"/>
                <w:color w:val="#000000"/>
                <w:sz w:val="24"/>
                <w:szCs w:val="24"/>
              </w:rPr>
              <w:t> Методика изучения положительных и отрицательных чисел:</w:t>
            </w:r>
          </w:p>
          <w:p>
            <w:pPr>
              <w:jc w:val="both"/>
              <w:spacing w:after="0" w:line="240" w:lineRule="auto"/>
              <w:rPr>
                <w:sz w:val="24"/>
                <w:szCs w:val="24"/>
              </w:rPr>
            </w:pPr>
            <w:r>
              <w:rPr>
                <w:rFonts w:ascii="Times New Roman" w:hAnsi="Times New Roman" w:cs="Times New Roman"/>
                <w:color w:val="#000000"/>
                <w:sz w:val="24"/>
                <w:szCs w:val="24"/>
              </w:rPr>
              <w:t> а) пути введения;</w:t>
            </w:r>
          </w:p>
          <w:p>
            <w:pPr>
              <w:jc w:val="both"/>
              <w:spacing w:after="0" w:line="240" w:lineRule="auto"/>
              <w:rPr>
                <w:sz w:val="24"/>
                <w:szCs w:val="24"/>
              </w:rPr>
            </w:pPr>
            <w:r>
              <w:rPr>
                <w:rFonts w:ascii="Times New Roman" w:hAnsi="Times New Roman" w:cs="Times New Roman"/>
                <w:color w:val="#000000"/>
                <w:sz w:val="24"/>
                <w:szCs w:val="24"/>
              </w:rPr>
              <w:t> б) методика изучения сравнения;</w:t>
            </w:r>
          </w:p>
          <w:p>
            <w:pPr>
              <w:jc w:val="both"/>
              <w:spacing w:after="0" w:line="240" w:lineRule="auto"/>
              <w:rPr>
                <w:sz w:val="24"/>
                <w:szCs w:val="24"/>
              </w:rPr>
            </w:pPr>
            <w:r>
              <w:rPr>
                <w:rFonts w:ascii="Times New Roman" w:hAnsi="Times New Roman" w:cs="Times New Roman"/>
                <w:color w:val="#000000"/>
                <w:sz w:val="24"/>
                <w:szCs w:val="24"/>
              </w:rPr>
              <w:t> в) методика изучения действий.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реализации индивидуализации и дифференциации обучения на уровнях основного общего и среднего общего образования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Разработать календарно-тематический план индивидуального маршрута подготовки школьника к проектной работе по математике.</w:t>
            </w:r>
          </w:p>
          <w:p>
            <w:pPr>
              <w:jc w:val="both"/>
              <w:spacing w:after="0" w:line="240" w:lineRule="auto"/>
              <w:rPr>
                <w:sz w:val="24"/>
                <w:szCs w:val="24"/>
              </w:rPr>
            </w:pPr>
            <w:r>
              <w:rPr>
                <w:rFonts w:ascii="Times New Roman" w:hAnsi="Times New Roman" w:cs="Times New Roman"/>
                <w:color w:val="#000000"/>
                <w:sz w:val="24"/>
                <w:szCs w:val="24"/>
              </w:rPr>
              <w:t> Методика работы с текстовой задачей:</w:t>
            </w:r>
          </w:p>
          <w:p>
            <w:pPr>
              <w:jc w:val="both"/>
              <w:spacing w:after="0" w:line="240" w:lineRule="auto"/>
              <w:rPr>
                <w:sz w:val="24"/>
                <w:szCs w:val="24"/>
              </w:rPr>
            </w:pPr>
            <w:r>
              <w:rPr>
                <w:rFonts w:ascii="Times New Roman" w:hAnsi="Times New Roman" w:cs="Times New Roman"/>
                <w:color w:val="#000000"/>
                <w:sz w:val="24"/>
                <w:szCs w:val="24"/>
              </w:rPr>
              <w:t> а) анализ условия;</w:t>
            </w:r>
          </w:p>
          <w:p>
            <w:pPr>
              <w:jc w:val="both"/>
              <w:spacing w:after="0" w:line="240" w:lineRule="auto"/>
              <w:rPr>
                <w:sz w:val="24"/>
                <w:szCs w:val="24"/>
              </w:rPr>
            </w:pPr>
            <w:r>
              <w:rPr>
                <w:rFonts w:ascii="Times New Roman" w:hAnsi="Times New Roman" w:cs="Times New Roman"/>
                <w:color w:val="#000000"/>
                <w:sz w:val="24"/>
                <w:szCs w:val="24"/>
              </w:rPr>
              <w:t> б) запись условия задачи;</w:t>
            </w:r>
          </w:p>
          <w:p>
            <w:pPr>
              <w:jc w:val="both"/>
              <w:spacing w:after="0" w:line="240" w:lineRule="auto"/>
              <w:rPr>
                <w:sz w:val="24"/>
                <w:szCs w:val="24"/>
              </w:rPr>
            </w:pPr>
            <w:r>
              <w:rPr>
                <w:rFonts w:ascii="Times New Roman" w:hAnsi="Times New Roman" w:cs="Times New Roman"/>
                <w:color w:val="#000000"/>
                <w:sz w:val="24"/>
                <w:szCs w:val="24"/>
              </w:rPr>
              <w:t> в) алгебраический и арифметический методы решения (суть, оформление решения);</w:t>
            </w:r>
          </w:p>
          <w:p>
            <w:pPr>
              <w:jc w:val="both"/>
              <w:spacing w:after="0" w:line="240" w:lineRule="auto"/>
              <w:rPr>
                <w:sz w:val="24"/>
                <w:szCs w:val="24"/>
              </w:rPr>
            </w:pPr>
            <w:r>
              <w:rPr>
                <w:rFonts w:ascii="Times New Roman" w:hAnsi="Times New Roman" w:cs="Times New Roman"/>
                <w:color w:val="#000000"/>
                <w:sz w:val="24"/>
                <w:szCs w:val="24"/>
              </w:rPr>
              <w:t> г) вопросы поиска решения задачи арифметическим методом и его оформление,</w:t>
            </w:r>
          </w:p>
          <w:p>
            <w:pPr>
              <w:jc w:val="both"/>
              <w:spacing w:after="0" w:line="240" w:lineRule="auto"/>
              <w:rPr>
                <w:sz w:val="24"/>
                <w:szCs w:val="24"/>
              </w:rPr>
            </w:pPr>
            <w:r>
              <w:rPr>
                <w:rFonts w:ascii="Times New Roman" w:hAnsi="Times New Roman" w:cs="Times New Roman"/>
                <w:color w:val="#000000"/>
                <w:sz w:val="24"/>
                <w:szCs w:val="24"/>
              </w:rPr>
              <w:t> д) вопросы поиска решения задачи алгебраическим методом и его оформление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оценки и мониторинга образовательных результатов обучающихся в математическом образовании</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Схема изучения числовых систем</w:t>
            </w:r>
          </w:p>
          <w:p>
            <w:pPr>
              <w:jc w:val="both"/>
              <w:spacing w:after="0" w:line="240" w:lineRule="auto"/>
              <w:rPr>
                <w:sz w:val="24"/>
                <w:szCs w:val="24"/>
              </w:rPr>
            </w:pPr>
            <w:r>
              <w:rPr>
                <w:rFonts w:ascii="Times New Roman" w:hAnsi="Times New Roman" w:cs="Times New Roman"/>
                <w:color w:val="#000000"/>
                <w:sz w:val="24"/>
                <w:szCs w:val="24"/>
              </w:rPr>
              <w:t> Разработайте фрагмент, включающий организацию познавательной деятельности учащих- ся при изучении фактического материала.</w:t>
            </w:r>
          </w:p>
          <w:p>
            <w:pPr>
              <w:jc w:val="both"/>
              <w:spacing w:after="0" w:line="240" w:lineRule="auto"/>
              <w:rPr>
                <w:sz w:val="24"/>
                <w:szCs w:val="24"/>
              </w:rPr>
            </w:pPr>
            <w:r>
              <w:rPr>
                <w:rFonts w:ascii="Times New Roman" w:hAnsi="Times New Roman" w:cs="Times New Roman"/>
                <w:color w:val="#000000"/>
                <w:sz w:val="24"/>
                <w:szCs w:val="24"/>
              </w:rPr>
              <w:t> Методика работы с задачами следующих видов:</w:t>
            </w:r>
          </w:p>
          <w:p>
            <w:pPr>
              <w:jc w:val="both"/>
              <w:spacing w:after="0" w:line="240" w:lineRule="auto"/>
              <w:rPr>
                <w:sz w:val="24"/>
                <w:szCs w:val="24"/>
              </w:rPr>
            </w:pPr>
            <w:r>
              <w:rPr>
                <w:rFonts w:ascii="Times New Roman" w:hAnsi="Times New Roman" w:cs="Times New Roman"/>
                <w:color w:val="#000000"/>
                <w:sz w:val="24"/>
                <w:szCs w:val="24"/>
              </w:rPr>
              <w:t> а) задачи на движение (виды задач, основные умения, обучение учащихся их решению);</w:t>
            </w:r>
          </w:p>
          <w:p>
            <w:pPr>
              <w:jc w:val="both"/>
              <w:spacing w:after="0" w:line="240" w:lineRule="auto"/>
              <w:rPr>
                <w:sz w:val="24"/>
                <w:szCs w:val="24"/>
              </w:rPr>
            </w:pPr>
            <w:r>
              <w:rPr>
                <w:rFonts w:ascii="Times New Roman" w:hAnsi="Times New Roman" w:cs="Times New Roman"/>
                <w:color w:val="#000000"/>
                <w:sz w:val="24"/>
                <w:szCs w:val="24"/>
              </w:rPr>
              <w:t> б) задачи на работу (виды задач, основные умения, обучение учащихся их решению);</w:t>
            </w:r>
          </w:p>
          <w:p>
            <w:pPr>
              <w:jc w:val="both"/>
              <w:spacing w:after="0" w:line="240" w:lineRule="auto"/>
              <w:rPr>
                <w:sz w:val="24"/>
                <w:szCs w:val="24"/>
              </w:rPr>
            </w:pPr>
            <w:r>
              <w:rPr>
                <w:rFonts w:ascii="Times New Roman" w:hAnsi="Times New Roman" w:cs="Times New Roman"/>
                <w:color w:val="#000000"/>
                <w:sz w:val="24"/>
                <w:szCs w:val="24"/>
              </w:rPr>
              <w:t> в) задачи на проценты, сушку и сплавы (виды задач, основные умения, обучение учащихся их решению).</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Учебно-методическое обеспечение внеучебной деятельности школьников при обучении математике</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составления конспекта</w:t>
            </w:r>
          </w:p>
          <w:p>
            <w:pPr>
              <w:jc w:val="both"/>
              <w:spacing w:after="0" w:line="240" w:lineRule="auto"/>
              <w:rPr>
                <w:sz w:val="24"/>
                <w:szCs w:val="24"/>
              </w:rPr>
            </w:pPr>
            <w:r>
              <w:rPr>
                <w:rFonts w:ascii="Times New Roman" w:hAnsi="Times New Roman" w:cs="Times New Roman"/>
                <w:color w:val="#000000"/>
                <w:sz w:val="24"/>
                <w:szCs w:val="24"/>
              </w:rPr>
              <w:t> Разработайте фрагмент курса подготовки к внеклассной работе олимпиадам по математи- ке</w:t>
            </w:r>
          </w:p>
          <w:p>
            <w:pPr>
              <w:jc w:val="both"/>
              <w:spacing w:after="0" w:line="240" w:lineRule="auto"/>
              <w:rPr>
                <w:sz w:val="24"/>
                <w:szCs w:val="24"/>
              </w:rPr>
            </w:pPr>
            <w:r>
              <w:rPr>
                <w:rFonts w:ascii="Times New Roman" w:hAnsi="Times New Roman" w:cs="Times New Roman"/>
                <w:color w:val="#000000"/>
                <w:sz w:val="24"/>
                <w:szCs w:val="24"/>
              </w:rPr>
              <w:t> Разработайте календарно-тематический индивидуальный маршрут подготовки</w:t>
            </w:r>
          </w:p>
          <w:p>
            <w:pPr>
              <w:jc w:val="both"/>
              <w:spacing w:after="0" w:line="240" w:lineRule="auto"/>
              <w:rPr>
                <w:sz w:val="24"/>
                <w:szCs w:val="24"/>
              </w:rPr>
            </w:pPr>
            <w:r>
              <w:rPr>
                <w:rFonts w:ascii="Times New Roman" w:hAnsi="Times New Roman" w:cs="Times New Roman"/>
                <w:color w:val="#000000"/>
                <w:sz w:val="24"/>
                <w:szCs w:val="24"/>
              </w:rPr>
              <w:t> школьника к внеклассной работе по математике</w:t>
            </w:r>
          </w:p>
          <w:p>
            <w:pPr>
              <w:jc w:val="both"/>
              <w:spacing w:after="0" w:line="240" w:lineRule="auto"/>
              <w:rPr>
                <w:sz w:val="24"/>
                <w:szCs w:val="24"/>
              </w:rPr>
            </w:pPr>
            <w:r>
              <w:rPr>
                <w:rFonts w:ascii="Times New Roman" w:hAnsi="Times New Roman" w:cs="Times New Roman"/>
                <w:color w:val="#000000"/>
                <w:sz w:val="24"/>
                <w:szCs w:val="24"/>
              </w:rPr>
              <w:t> Составьте олимпиадные задания по внеклассной работе в соответствии с  требованиями к олимпиадным заданиям (возраст по выбору студента).</w:t>
            </w:r>
          </w:p>
          <w:p>
            <w:pPr>
              <w:jc w:val="both"/>
              <w:spacing w:after="0" w:line="240" w:lineRule="auto"/>
              <w:rPr>
                <w:sz w:val="24"/>
                <w:szCs w:val="24"/>
              </w:rPr>
            </w:pPr>
            <w:r>
              <w:rPr>
                <w:rFonts w:ascii="Times New Roman" w:hAnsi="Times New Roman" w:cs="Times New Roman"/>
                <w:color w:val="#000000"/>
                <w:sz w:val="24"/>
                <w:szCs w:val="24"/>
              </w:rPr>
              <w:t> Составить схему анализа пункта школьного учебника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и воспитания (математическое образование)»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развивающего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Далингер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Кальт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Филоненко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978-5-534-05734-8.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https://urait.ru/bcode/493213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Подходова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Орлов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Стефанова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Снегурова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978-5-534-08766-6.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https://urait.ru/bcode/489760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Изучение</w:t>
            </w:r>
            <w:r>
              <w:rPr/>
              <w:t xml:space="preserve"> </w:t>
            </w:r>
            <w:r>
              <w:rPr>
                <w:rFonts w:ascii="Times New Roman" w:hAnsi="Times New Roman" w:cs="Times New Roman"/>
                <w:color w:val="#000000"/>
                <w:sz w:val="24"/>
                <w:szCs w:val="24"/>
              </w:rPr>
              <w:t>дробей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над</w:t>
            </w:r>
            <w:r>
              <w:rPr/>
              <w:t xml:space="preserve"> </w:t>
            </w:r>
            <w:r>
              <w:rPr>
                <w:rFonts w:ascii="Times New Roman" w:hAnsi="Times New Roman" w:cs="Times New Roman"/>
                <w:color w:val="#000000"/>
                <w:sz w:val="24"/>
                <w:szCs w:val="24"/>
              </w:rPr>
              <w:t>ними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Далингер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978-5-534-09599-9.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316.932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Когнитивно-визуальный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Далингер</w:t>
            </w:r>
            <w:r>
              <w:rPr/>
              <w:t xml:space="preserve"> </w:t>
            </w:r>
            <w:r>
              <w:rPr>
                <w:rFonts w:ascii="Times New Roman" w:hAnsi="Times New Roman" w:cs="Times New Roman"/>
                <w:color w:val="#000000"/>
                <w:sz w:val="24"/>
                <w:szCs w:val="24"/>
              </w:rPr>
              <w:t>В.</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Симонженков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978-5-534-09596-8.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https://urait.ru/bcode/490914</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доказательству</w:t>
            </w:r>
            <w:r>
              <w:rPr/>
              <w:t xml:space="preserve"> </w:t>
            </w:r>
            <w:r>
              <w:rPr>
                <w:rFonts w:ascii="Times New Roman" w:hAnsi="Times New Roman" w:cs="Times New Roman"/>
                <w:color w:val="#000000"/>
                <w:sz w:val="24"/>
                <w:szCs w:val="24"/>
              </w:rPr>
              <w:t>теорем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Далингер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978-5-534-05736-2.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https://urait.ru/bcode/493215</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Далингер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https://urait.ru/bcode/490910</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началам</w:t>
            </w:r>
            <w:r>
              <w:rPr/>
              <w:t xml:space="preserve"> </w:t>
            </w:r>
            <w:r>
              <w:rPr>
                <w:rFonts w:ascii="Times New Roman" w:hAnsi="Times New Roman" w:cs="Times New Roman"/>
                <w:color w:val="#000000"/>
                <w:sz w:val="24"/>
                <w:szCs w:val="24"/>
              </w:rPr>
              <w:t>математического</w:t>
            </w:r>
            <w:r>
              <w:rPr/>
              <w:t xml:space="preserve"> </w:t>
            </w:r>
            <w:r>
              <w:rPr>
                <w:rFonts w:ascii="Times New Roman" w:hAnsi="Times New Roman" w:cs="Times New Roman"/>
                <w:color w:val="#000000"/>
                <w:sz w:val="24"/>
                <w:szCs w:val="24"/>
              </w:rPr>
              <w:t>анализа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Далингер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978-5-534-09598-2.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https://urait.ru/bcode/490911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частная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Капкаева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https://urait.ru/bcode/492957</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педагогическом</w:t>
            </w:r>
            <w:r>
              <w:rPr/>
              <w:t xml:space="preserve"> </w:t>
            </w:r>
            <w:r>
              <w:rPr>
                <w:rFonts w:ascii="Times New Roman" w:hAnsi="Times New Roman" w:cs="Times New Roman"/>
                <w:color w:val="#000000"/>
                <w:sz w:val="24"/>
                <w:szCs w:val="24"/>
              </w:rPr>
              <w:t>вузе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Маняхина,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Мирзоев,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Нижников,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педагогическом</w:t>
            </w:r>
            <w:r>
              <w:rPr/>
              <w:t xml:space="preserve"> </w:t>
            </w:r>
            <w:r>
              <w:rPr>
                <w:rFonts w:ascii="Times New Roman" w:hAnsi="Times New Roman" w:cs="Times New Roman"/>
                <w:color w:val="#000000"/>
                <w:sz w:val="24"/>
                <w:szCs w:val="24"/>
              </w:rPr>
              <w:t>вузе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978-5-906879-74-5.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http://www.iprbookshop.ru/94398.html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Снегурова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Подходова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Лисимова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Фефилова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978-5-534-08769-7.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https://urait.ru/bcode/489761</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приемов</w:t>
            </w:r>
            <w:r>
              <w:rPr/>
              <w:t xml:space="preserve"> </w:t>
            </w:r>
            <w:r>
              <w:rPr>
                <w:rFonts w:ascii="Times New Roman" w:hAnsi="Times New Roman" w:cs="Times New Roman"/>
                <w:color w:val="#000000"/>
                <w:sz w:val="24"/>
                <w:szCs w:val="24"/>
              </w:rPr>
              <w:t>математического</w:t>
            </w:r>
            <w:r>
              <w:rPr/>
              <w:t xml:space="preserve"> </w:t>
            </w:r>
            <w:r>
              <w:rPr>
                <w:rFonts w:ascii="Times New Roman" w:hAnsi="Times New Roman" w:cs="Times New Roman"/>
                <w:color w:val="#000000"/>
                <w:sz w:val="24"/>
                <w:szCs w:val="24"/>
              </w:rPr>
              <w:t>мышления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Талызина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Буткин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Володарская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Салмина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Никола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Никитюк</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https://urait.ru/bcode/493931</w:t>
            </w:r>
            <w:r>
              <w:rPr/>
              <w:t xml:space="preserve"> </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Подходова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Орлов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Стефанова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Снегурова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978-5-534-08768-0.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https://urait.ru/bcode/490417</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математики:</w:t>
            </w:r>
            <w:r>
              <w:rPr/>
              <w:t xml:space="preserve"> </w:t>
            </w:r>
            <w:r>
              <w:rPr>
                <w:rFonts w:ascii="Times New Roman" w:hAnsi="Times New Roman" w:cs="Times New Roman"/>
                <w:color w:val="#000000"/>
                <w:sz w:val="24"/>
                <w:szCs w:val="24"/>
              </w:rPr>
              <w:t>теоремы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справочные</w:t>
            </w:r>
            <w:r>
              <w:rPr/>
              <w:t xml:space="preserve"> </w:t>
            </w:r>
            <w:r>
              <w:rPr>
                <w:rFonts w:ascii="Times New Roman" w:hAnsi="Times New Roman" w:cs="Times New Roman"/>
                <w:color w:val="#000000"/>
                <w:sz w:val="24"/>
                <w:szCs w:val="24"/>
              </w:rPr>
              <w:t>материалы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Ястребов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Суслова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978-5-534-08685-0.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https://urait.ru/bcode/491360</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математики:</w:t>
            </w:r>
            <w:r>
              <w:rPr/>
              <w:t xml:space="preserve"> </w:t>
            </w:r>
            <w:r>
              <w:rPr>
                <w:rFonts w:ascii="Times New Roman" w:hAnsi="Times New Roman" w:cs="Times New Roman"/>
                <w:color w:val="#000000"/>
                <w:sz w:val="24"/>
                <w:szCs w:val="24"/>
              </w:rPr>
              <w:t>задачи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Ястребов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978-5-534-08353-8.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https://urait.ru/bcode/491361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частная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Капкаева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https://urait.ru/bcode/493011</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082.0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80.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2024-2025_ФГОС3++2024_Бак-ОФО-ПО(МО)(24)_plx_Методика обучения и воспитания (математическое образование)</dc:title>
  <dc:creator>FastReport.NET</dc:creator>
</cp:coreProperties>
</file>